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D2" w:rsidRDefault="00AB30D2" w:rsidP="00AB30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30D2">
        <w:rPr>
          <w:b/>
        </w:rPr>
        <w:t xml:space="preserve">Année 2010-2011, lectures sur </w:t>
      </w:r>
      <w:r w:rsidRPr="00AB30D2">
        <w:rPr>
          <w:rStyle w:val="lev"/>
          <w:b w:val="0"/>
        </w:rPr>
        <w:t>Le Masochisme</w:t>
      </w:r>
      <w:r>
        <w:t xml:space="preserve">, </w:t>
      </w:r>
    </w:p>
    <w:p w:rsidR="00AB30D2" w:rsidRDefault="00AB30D2" w:rsidP="00AB30D2">
      <w:pPr>
        <w:pStyle w:val="NormalWeb"/>
      </w:pPr>
      <w:r>
        <w:t xml:space="preserve">en particulier les articles de </w:t>
      </w:r>
      <w:r>
        <w:rPr>
          <w:rStyle w:val="lev"/>
        </w:rPr>
        <w:t>Benno Rosenberg</w:t>
      </w:r>
      <w:r>
        <w:t xml:space="preserve">, tirés de la monographie </w:t>
      </w:r>
      <w:r>
        <w:rPr>
          <w:rStyle w:val="lev"/>
        </w:rPr>
        <w:t>Masochisme mortifère et masochisme gardien de la vie</w:t>
      </w:r>
      <w:r>
        <w:t>, PUF 1991</w:t>
      </w:r>
    </w:p>
    <w:p w:rsidR="00AB30D2" w:rsidRDefault="00AB30D2" w:rsidP="00AB30D2">
      <w:pPr>
        <w:pStyle w:val="NormalWeb"/>
      </w:pPr>
      <w:r>
        <w:rPr>
          <w:rStyle w:val="lev"/>
        </w:rPr>
        <w:t>Programme</w:t>
      </w:r>
      <w:r>
        <w:t xml:space="preserve"> :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8 novembre </w:t>
      </w:r>
      <w:r>
        <w:rPr>
          <w:rStyle w:val="lev"/>
        </w:rPr>
        <w:t>2010</w:t>
      </w:r>
      <w:r>
        <w:t xml:space="preserve">, chapitre I : Culpabilité et masochisme moral, 1ère partie (p. 31 à 44)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22 novembre, chapitre I, 2ème partie et fin (p.44-54)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6 décembre, chapitre II : Masochisme mortifère et masochisme gardien de la vie, 1ère partie (p. 55 à 67)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20 décembre, suite du chap. II, lecture de p. 67 à 73, discussion à partir de p. 63. Étude du masochisme érogène primaire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17 janvier </w:t>
      </w:r>
      <w:r>
        <w:rPr>
          <w:rStyle w:val="lev"/>
        </w:rPr>
        <w:t>2011</w:t>
      </w:r>
      <w:r>
        <w:t xml:space="preserve">, chap. II (suite), lecture de p. 73 à 83. Deux sous-chapitre : Masochisme et sujet ; masochisme et objet. Poursuite de l’étude du masochisme érogène primaire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31 janvier, chap. II (fin), lecture de p. 83 à 91. Fin de l’étude du masochisme érogène primaire et précisions concernant le masochisme mortifère.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14 février, lecture du texte de </w:t>
      </w:r>
      <w:r>
        <w:rPr>
          <w:rStyle w:val="lev"/>
        </w:rPr>
        <w:t>Freud</w:t>
      </w:r>
      <w:r>
        <w:t xml:space="preserve"> de 1924 sur </w:t>
      </w:r>
      <w:r>
        <w:rPr>
          <w:rStyle w:val="lev"/>
        </w:rPr>
        <w:t>le problème économique du masochisme</w:t>
      </w:r>
      <w:r>
        <w:t xml:space="preserve">. Version française dans "Névrose, psychose et perversion", PUF, p. 287 ou dans les Œuvres complètes de Freud, t. XVII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28 février, lecture du texte de </w:t>
      </w:r>
      <w:r>
        <w:rPr>
          <w:rStyle w:val="lev"/>
        </w:rPr>
        <w:t>Freud</w:t>
      </w:r>
      <w:r>
        <w:t xml:space="preserve"> de 1919 sur </w:t>
      </w:r>
      <w:r>
        <w:rPr>
          <w:rStyle w:val="lev"/>
        </w:rPr>
        <w:t>un enfant est battu</w:t>
      </w:r>
      <w:r>
        <w:t xml:space="preserve">, 1ère partie, soit I-IV. Version française dans "Névrose, psychose et perversion", PUF, p. 219 ou dans les Œuvres complètes de Freud, t. XV, p.115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14 mars, suite et fin de la lecture de </w:t>
      </w:r>
      <w:r>
        <w:rPr>
          <w:rStyle w:val="lev"/>
        </w:rPr>
        <w:t>un enfant est battu</w:t>
      </w:r>
      <w:r>
        <w:t xml:space="preserve">, 2ème partie, soit V-VI. Version française dans "Névrose, psychose et perversion", PUF, p. 231-243 ou dans les Œuvres complètes de Freud, t. XV.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28 mars, reprise de la lecture de Benno Rosenberg avec le chapitre 3, </w:t>
      </w:r>
      <w:r>
        <w:rPr>
          <w:rStyle w:val="lev"/>
        </w:rPr>
        <w:t>le travail de mélancolie</w:t>
      </w:r>
      <w:r>
        <w:t xml:space="preserve">, 1ère partie (p.93 à 112) qui continue la réflexion sur le masochisme, en particulier dans la résolution de l’accès mélancolique.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11 avril, suite et fin de la lecture du chapitre 3, </w:t>
      </w:r>
      <w:r>
        <w:rPr>
          <w:rStyle w:val="lev"/>
        </w:rPr>
        <w:t>le travail de mélancolie</w:t>
      </w:r>
      <w:r>
        <w:t xml:space="preserve">, p.113 à 122, qui continue la réflexion sur les liens entre masochisme et mélancolie.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9 mai, lecture du texte de </w:t>
      </w:r>
      <w:r>
        <w:rPr>
          <w:rStyle w:val="lev"/>
        </w:rPr>
        <w:t>Freud</w:t>
      </w:r>
      <w:r>
        <w:t xml:space="preserve"> de 1917 </w:t>
      </w:r>
      <w:r>
        <w:rPr>
          <w:rStyle w:val="lev"/>
        </w:rPr>
        <w:t>Deuil et mélancolie</w:t>
      </w:r>
      <w:r>
        <w:t xml:space="preserve"> qui est à l’origine de la réflexion de Rosenberg sur le travail de mélancolie.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23 mai, </w:t>
      </w:r>
      <w:r>
        <w:rPr>
          <w:rStyle w:val="lev"/>
        </w:rPr>
        <w:t>clinique de la mélancolie</w:t>
      </w:r>
      <w:r>
        <w:t xml:space="preserve">, entre pathologie psychiatrique et fixations psychanalytiques, à partir de la casuistique des participants et de l’animateur.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6 juin, </w:t>
      </w:r>
      <w:r>
        <w:rPr>
          <w:rStyle w:val="lev"/>
        </w:rPr>
        <w:t>clinique de la mélancolie</w:t>
      </w:r>
      <w:r>
        <w:t xml:space="preserve">, suite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20 juin, </w:t>
      </w:r>
      <w:r>
        <w:rPr>
          <w:rStyle w:val="lev"/>
        </w:rPr>
        <w:t>clinique de la mélancolie</w:t>
      </w:r>
      <w:r>
        <w:t xml:space="preserve">, fin, présentation H. </w:t>
      </w:r>
      <w:proofErr w:type="spellStart"/>
      <w:r>
        <w:t>Veuthey</w:t>
      </w:r>
      <w:proofErr w:type="spellEnd"/>
      <w:r>
        <w:t xml:space="preserve"> et N. de Coulon</w:t>
      </w:r>
    </w:p>
    <w:p w:rsidR="00AB30D2" w:rsidRDefault="00AB30D2" w:rsidP="00AB30D2">
      <w:pPr>
        <w:pStyle w:val="NormalWeb"/>
      </w:pPr>
      <w:r>
        <w:rPr>
          <w:rStyle w:val="lev"/>
        </w:rPr>
        <w:t>A noter</w:t>
      </w:r>
      <w:r>
        <w:t> : Exceptionnellement, ce séminaire est prolongé durant l’automne 2011, avant de faire place aux nouveaux séminaires 2012. En effet, les séminaires institutionnels s’aligneront dorénavant sur l’année civile.</w:t>
      </w:r>
    </w:p>
    <w:p w:rsidR="00AB30D2" w:rsidRDefault="00AB30D2" w:rsidP="00AB30D2">
      <w:pPr>
        <w:pStyle w:val="NormalWeb"/>
      </w:pP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12 septembre, lecture de Benno Rosenberg, </w:t>
      </w:r>
      <w:r>
        <w:rPr>
          <w:rStyle w:val="lev"/>
        </w:rPr>
        <w:t>Les sources pulsionnelles de la négativité</w:t>
      </w:r>
      <w:r>
        <w:t xml:space="preserve">, texte tiré de l’ouvrage sur le Négatif que vous trouverez en document à télécharger sur cette page.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26 septembre, reprise de la monographie de la RFP consacrée à Benno Rosenberg avec le chapitre 4, </w:t>
      </w:r>
      <w:r>
        <w:rPr>
          <w:rStyle w:val="lev"/>
        </w:rPr>
        <w:t>Pulsion de mort et intrication pulsionnelle</w:t>
      </w:r>
      <w:r>
        <w:t xml:space="preserve">, lecture lente : 1ère partie : Introduction, partie I, A et B1 (p.123 à 131)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10 octobre, suite de </w:t>
      </w:r>
      <w:r>
        <w:rPr>
          <w:rStyle w:val="lev"/>
        </w:rPr>
        <w:t>Pulsion de mort et intrication pulsionnelle</w:t>
      </w:r>
      <w:r>
        <w:t xml:space="preserve">, p. 131 à 141, fin </w:t>
      </w:r>
      <w:r>
        <w:lastRenderedPageBreak/>
        <w:t xml:space="preserve">de la section I et section II.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24 octobre, suite de </w:t>
      </w:r>
      <w:r>
        <w:rPr>
          <w:rStyle w:val="lev"/>
        </w:rPr>
        <w:t>Pulsion de mort et intrication pulsionnelle</w:t>
      </w:r>
      <w:r>
        <w:t xml:space="preserve">, p. 137 à 141, section II que nous n’avons pas eu le temps de traiter. De plus, nous illustrerons avec nos cas de </w:t>
      </w:r>
      <w:r>
        <w:rPr>
          <w:rStyle w:val="lev"/>
        </w:rPr>
        <w:t>clinique de la désintrication pulsionnelle</w:t>
      </w:r>
      <w:r>
        <w:t xml:space="preserve">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7 novembre, </w:t>
      </w:r>
      <w:r>
        <w:rPr>
          <w:rStyle w:val="lev"/>
        </w:rPr>
        <w:t>Pulsion de mort et intrication pulsionnelle</w:t>
      </w:r>
      <w:r>
        <w:t xml:space="preserve">, p. 142 à 151, section III : la dernière théorie des pulsions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21" name="Image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21 novembre, </w:t>
      </w:r>
      <w:r>
        <w:rPr>
          <w:rStyle w:val="lev"/>
        </w:rPr>
        <w:t>Pulsion de mort et intrication pulsionnelle</w:t>
      </w:r>
      <w:r>
        <w:t xml:space="preserve"> p. 152 à 159, section IV : Négation et travail psychique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22" name="Image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5 décembre, </w:t>
      </w:r>
      <w:r>
        <w:rPr>
          <w:rStyle w:val="lev"/>
        </w:rPr>
        <w:t>Introduction</w:t>
      </w:r>
      <w:r>
        <w:t xml:space="preserve"> aux 4 textes de Benno Rosenberg, p. 17 à 30 </w:t>
      </w:r>
      <w:r>
        <w:br/>
      </w:r>
      <w:r>
        <w:rPr>
          <w:noProof/>
        </w:rPr>
        <w:drawing>
          <wp:inline distT="0" distB="0" distL="0" distR="0">
            <wp:extent cx="76200" cy="104775"/>
            <wp:effectExtent l="19050" t="0" r="0" b="0"/>
            <wp:docPr id="23" name="Image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Pour le 19 décembre, </w:t>
      </w:r>
      <w:r>
        <w:rPr>
          <w:rStyle w:val="lev"/>
        </w:rPr>
        <w:t>Préface de Claude Le Guen</w:t>
      </w:r>
      <w:r>
        <w:t xml:space="preserve"> au livre de Rosenberg, nous permettant de </w:t>
      </w:r>
      <w:proofErr w:type="spellStart"/>
      <w:r>
        <w:t>clôre</w:t>
      </w:r>
      <w:proofErr w:type="spellEnd"/>
      <w:r>
        <w:t xml:space="preserve"> le séminaire sur le masochisme</w:t>
      </w:r>
    </w:p>
    <w:p w:rsidR="006031FE" w:rsidRDefault="006031FE"/>
    <w:sectPr w:rsidR="006031FE" w:rsidSect="0060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51" w:rsidRDefault="00270951" w:rsidP="003E400F">
      <w:pPr>
        <w:spacing w:after="0" w:line="240" w:lineRule="auto"/>
      </w:pPr>
      <w:r>
        <w:separator/>
      </w:r>
    </w:p>
  </w:endnote>
  <w:endnote w:type="continuationSeparator" w:id="0">
    <w:p w:rsidR="00270951" w:rsidRDefault="00270951" w:rsidP="003E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51" w:rsidRDefault="00270951" w:rsidP="003E400F">
      <w:pPr>
        <w:spacing w:after="0" w:line="240" w:lineRule="auto"/>
      </w:pPr>
      <w:r>
        <w:separator/>
      </w:r>
    </w:p>
  </w:footnote>
  <w:footnote w:type="continuationSeparator" w:id="0">
    <w:p w:rsidR="00270951" w:rsidRDefault="00270951" w:rsidP="003E4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B30D2"/>
    <w:rsid w:val="00060699"/>
    <w:rsid w:val="000C76D1"/>
    <w:rsid w:val="000E252E"/>
    <w:rsid w:val="00180D32"/>
    <w:rsid w:val="0025634E"/>
    <w:rsid w:val="00270951"/>
    <w:rsid w:val="003E400F"/>
    <w:rsid w:val="00447F47"/>
    <w:rsid w:val="005129FF"/>
    <w:rsid w:val="006031FE"/>
    <w:rsid w:val="006B1095"/>
    <w:rsid w:val="00955A55"/>
    <w:rsid w:val="00AB30D2"/>
    <w:rsid w:val="00C2120A"/>
    <w:rsid w:val="00C76ECC"/>
    <w:rsid w:val="00F5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 w:bidi="ar-SA"/>
    </w:rPr>
  </w:style>
  <w:style w:type="character" w:styleId="lev">
    <w:name w:val="Strong"/>
    <w:basedOn w:val="Policepardfaut"/>
    <w:uiPriority w:val="22"/>
    <w:qFormat/>
    <w:rsid w:val="00AB30D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0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E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400F"/>
  </w:style>
  <w:style w:type="paragraph" w:styleId="Pieddepage">
    <w:name w:val="footer"/>
    <w:basedOn w:val="Normal"/>
    <w:link w:val="PieddepageCar"/>
    <w:uiPriority w:val="99"/>
    <w:semiHidden/>
    <w:unhideWhenUsed/>
    <w:rsid w:val="003E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4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Coulon</dc:creator>
  <cp:lastModifiedBy>Nicolas de Coulon</cp:lastModifiedBy>
  <cp:revision>2</cp:revision>
  <dcterms:created xsi:type="dcterms:W3CDTF">2012-02-27T22:09:00Z</dcterms:created>
  <dcterms:modified xsi:type="dcterms:W3CDTF">2012-02-27T22:09:00Z</dcterms:modified>
</cp:coreProperties>
</file>